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450"/>
      </w:tblGrid>
      <w:tr w:rsidR="002C22E1" w:rsidRPr="002C22E1" w:rsidTr="002C22E1">
        <w:trPr>
          <w:tblCellSpacing w:w="15" w:type="dxa"/>
          <w:jc w:val="center"/>
        </w:trPr>
        <w:tc>
          <w:tcPr>
            <w:tcW w:w="0" w:type="auto"/>
            <w:vAlign w:val="center"/>
            <w:hideMark/>
          </w:tcPr>
          <w:p w:rsidR="002C22E1" w:rsidRPr="002C22E1" w:rsidRDefault="002C22E1" w:rsidP="002C22E1">
            <w:pPr>
              <w:widowControl/>
              <w:jc w:val="center"/>
              <w:rPr>
                <w:rFonts w:ascii="宋体" w:eastAsia="宋体" w:hAnsi="宋体" w:cs="宋体"/>
                <w:kern w:val="0"/>
                <w:sz w:val="24"/>
                <w:szCs w:val="24"/>
              </w:rPr>
            </w:pPr>
            <w:r w:rsidRPr="002C22E1">
              <w:rPr>
                <w:rFonts w:ascii="宋体" w:eastAsia="宋体" w:hAnsi="宋体" w:cs="宋体"/>
                <w:kern w:val="0"/>
                <w:sz w:val="24"/>
                <w:szCs w:val="24"/>
              </w:rPr>
              <w:t>上海大学王宽诚奖教金管理条例</w:t>
            </w:r>
          </w:p>
        </w:tc>
      </w:tr>
    </w:tbl>
    <w:p w:rsidR="002C22E1" w:rsidRPr="002C22E1" w:rsidRDefault="002C22E1" w:rsidP="002C22E1">
      <w:pPr>
        <w:widowControl/>
        <w:jc w:val="left"/>
        <w:rPr>
          <w:rFonts w:ascii="宋体" w:eastAsia="宋体" w:hAnsi="宋体" w:cs="宋体"/>
          <w:vanish/>
          <w:kern w:val="0"/>
          <w:sz w:val="24"/>
          <w:szCs w:val="24"/>
        </w:rPr>
      </w:pPr>
    </w:p>
    <w:tbl>
      <w:tblPr>
        <w:tblW w:w="5000" w:type="pct"/>
        <w:tblCellSpacing w:w="0" w:type="dxa"/>
        <w:tblCellMar>
          <w:left w:w="0" w:type="dxa"/>
          <w:right w:w="0" w:type="dxa"/>
        </w:tblCellMar>
        <w:tblLook w:val="04A0" w:firstRow="1" w:lastRow="0" w:firstColumn="1" w:lastColumn="0" w:noHBand="0" w:noVBand="1"/>
      </w:tblPr>
      <w:tblGrid>
        <w:gridCol w:w="8306"/>
      </w:tblGrid>
      <w:tr w:rsidR="002C22E1" w:rsidRPr="002C22E1" w:rsidTr="002C22E1">
        <w:trPr>
          <w:tblCellSpacing w:w="0" w:type="dxa"/>
        </w:trPr>
        <w:tc>
          <w:tcPr>
            <w:tcW w:w="0" w:type="auto"/>
            <w:vAlign w:val="center"/>
            <w:hideMark/>
          </w:tcPr>
          <w:p w:rsidR="002C22E1" w:rsidRPr="002C22E1" w:rsidRDefault="002C22E1" w:rsidP="002C22E1">
            <w:pPr>
              <w:widowControl/>
              <w:jc w:val="left"/>
              <w:rPr>
                <w:rFonts w:ascii="宋体" w:eastAsia="宋体" w:hAnsi="宋体" w:cs="宋体"/>
                <w:kern w:val="0"/>
                <w:sz w:val="24"/>
                <w:szCs w:val="24"/>
              </w:rPr>
            </w:pPr>
          </w:p>
        </w:tc>
      </w:tr>
      <w:tr w:rsidR="002C22E1" w:rsidRPr="002C22E1" w:rsidTr="002C22E1">
        <w:trPr>
          <w:tblCellSpacing w:w="0" w:type="dxa"/>
        </w:trPr>
        <w:tc>
          <w:tcPr>
            <w:tcW w:w="0" w:type="auto"/>
            <w:vAlign w:val="center"/>
            <w:hideMark/>
          </w:tcPr>
          <w:p w:rsidR="002C22E1" w:rsidRPr="002C22E1" w:rsidRDefault="002C22E1" w:rsidP="002C22E1">
            <w:pPr>
              <w:widowControl/>
              <w:jc w:val="center"/>
              <w:rPr>
                <w:rFonts w:ascii="宋体" w:eastAsia="宋体" w:hAnsi="宋体" w:cs="宋体"/>
                <w:kern w:val="0"/>
                <w:sz w:val="24"/>
                <w:szCs w:val="24"/>
              </w:rPr>
            </w:pPr>
          </w:p>
        </w:tc>
      </w:tr>
      <w:tr w:rsidR="002C22E1" w:rsidRPr="002C22E1" w:rsidTr="002C22E1">
        <w:trPr>
          <w:tblCellSpacing w:w="0" w:type="dxa"/>
        </w:trPr>
        <w:tc>
          <w:tcPr>
            <w:tcW w:w="0" w:type="auto"/>
            <w:vAlign w:val="center"/>
            <w:hideMark/>
          </w:tcPr>
          <w:p w:rsidR="002C22E1" w:rsidRPr="002C22E1" w:rsidRDefault="002C22E1" w:rsidP="002C22E1">
            <w:pPr>
              <w:widowControl/>
              <w:jc w:val="left"/>
              <w:rPr>
                <w:rFonts w:ascii="宋体" w:eastAsia="宋体" w:hAnsi="宋体" w:cs="宋体"/>
                <w:kern w:val="0"/>
                <w:sz w:val="24"/>
                <w:szCs w:val="24"/>
              </w:rPr>
            </w:pPr>
          </w:p>
        </w:tc>
      </w:tr>
      <w:tr w:rsidR="002C22E1" w:rsidRPr="002C22E1" w:rsidTr="002C22E1">
        <w:trPr>
          <w:tblCellSpacing w:w="0" w:type="dxa"/>
        </w:trPr>
        <w:tc>
          <w:tcPr>
            <w:tcW w:w="0" w:type="auto"/>
            <w:hideMark/>
          </w:tcPr>
          <w:p w:rsidR="002C22E1" w:rsidRPr="002C22E1" w:rsidRDefault="002C22E1" w:rsidP="002C22E1">
            <w:pPr>
              <w:widowControl/>
              <w:spacing w:line="360" w:lineRule="auto"/>
              <w:jc w:val="center"/>
              <w:rPr>
                <w:rFonts w:ascii="仿宋" w:eastAsia="仿宋" w:hAnsi="仿宋" w:cs="宋体"/>
                <w:kern w:val="0"/>
                <w:szCs w:val="21"/>
              </w:rPr>
            </w:pPr>
            <w:r w:rsidRPr="002C22E1">
              <w:rPr>
                <w:rFonts w:ascii="仿宋" w:eastAsia="仿宋" w:hAnsi="仿宋" w:cs="宋体" w:hint="eastAsia"/>
                <w:kern w:val="0"/>
                <w:szCs w:val="21"/>
              </w:rPr>
              <w:t>上大内〔1999〕99号</w:t>
            </w:r>
          </w:p>
          <w:p w:rsidR="002C22E1" w:rsidRPr="002C22E1" w:rsidRDefault="002C22E1" w:rsidP="002C22E1">
            <w:pPr>
              <w:widowControl/>
              <w:spacing w:line="360" w:lineRule="auto"/>
              <w:ind w:firstLine="420"/>
              <w:jc w:val="left"/>
              <w:rPr>
                <w:rFonts w:ascii="仿宋" w:eastAsia="仿宋" w:hAnsi="仿宋" w:cs="宋体" w:hint="eastAsia"/>
                <w:kern w:val="0"/>
                <w:szCs w:val="21"/>
              </w:rPr>
            </w:pPr>
            <w:r w:rsidRPr="002C22E1">
              <w:rPr>
                <w:rFonts w:ascii="仿宋" w:eastAsia="仿宋" w:hAnsi="仿宋" w:cs="宋体" w:hint="eastAsia"/>
                <w:kern w:val="0"/>
                <w:szCs w:val="21"/>
              </w:rPr>
              <w:t>第一条 由已故香港知名爱国人士王宽诚先生所创立的教育基金会以振兴中华、培育高级专业人才为宗旨，于一九九五年向上海大学捐赠了人民币三十万元设立“上海大学王宽诚育才奖”。为推动育才奖的评选和奖励，促进我校的师资队伍建设，一九九九年王宽诚教育基金会决定再次捐款人民币五十万元，使我校王宽诚育才奖的奖教基金总额达到人民币八十万元整，为此，</w:t>
            </w:r>
            <w:proofErr w:type="gramStart"/>
            <w:r w:rsidRPr="002C22E1">
              <w:rPr>
                <w:rFonts w:ascii="仿宋" w:eastAsia="仿宋" w:hAnsi="仿宋" w:cs="宋体" w:hint="eastAsia"/>
                <w:kern w:val="0"/>
                <w:szCs w:val="21"/>
              </w:rPr>
              <w:t>特重新</w:t>
            </w:r>
            <w:proofErr w:type="gramEnd"/>
            <w:r w:rsidRPr="002C22E1">
              <w:rPr>
                <w:rFonts w:ascii="仿宋" w:eastAsia="仿宋" w:hAnsi="仿宋" w:cs="宋体" w:hint="eastAsia"/>
                <w:kern w:val="0"/>
                <w:szCs w:val="21"/>
              </w:rPr>
              <w:t>修订王宽诚奖教金管理条例。</w:t>
            </w:r>
          </w:p>
          <w:p w:rsidR="002C22E1" w:rsidRPr="002C22E1" w:rsidRDefault="002C22E1" w:rsidP="002C22E1">
            <w:pPr>
              <w:widowControl/>
              <w:spacing w:line="360" w:lineRule="auto"/>
              <w:ind w:firstLine="420"/>
              <w:jc w:val="left"/>
              <w:rPr>
                <w:rFonts w:ascii="仿宋" w:eastAsia="仿宋" w:hAnsi="仿宋" w:cs="宋体" w:hint="eastAsia"/>
                <w:kern w:val="0"/>
                <w:szCs w:val="21"/>
              </w:rPr>
            </w:pPr>
            <w:r w:rsidRPr="002C22E1">
              <w:rPr>
                <w:rFonts w:ascii="仿宋" w:eastAsia="仿宋" w:hAnsi="仿宋" w:cs="宋体" w:hint="eastAsia"/>
                <w:kern w:val="0"/>
                <w:szCs w:val="21"/>
              </w:rPr>
              <w:t>第二条 凡具备下列条件之一的，可获得育才奖。</w:t>
            </w:r>
          </w:p>
          <w:p w:rsidR="002C22E1" w:rsidRPr="002C22E1" w:rsidRDefault="002C22E1" w:rsidP="002C22E1">
            <w:pPr>
              <w:widowControl/>
              <w:spacing w:line="360" w:lineRule="auto"/>
              <w:ind w:firstLine="420"/>
              <w:jc w:val="left"/>
              <w:rPr>
                <w:rFonts w:ascii="仿宋" w:eastAsia="仿宋" w:hAnsi="仿宋" w:cs="宋体" w:hint="eastAsia"/>
                <w:kern w:val="0"/>
                <w:szCs w:val="21"/>
              </w:rPr>
            </w:pPr>
            <w:r w:rsidRPr="002C22E1">
              <w:rPr>
                <w:rFonts w:ascii="仿宋" w:eastAsia="仿宋" w:hAnsi="仿宋" w:cs="宋体" w:hint="eastAsia"/>
                <w:kern w:val="0"/>
                <w:szCs w:val="21"/>
              </w:rPr>
              <w:t>（1）认真履行教师职责，在教学工作中做到教书育人，为人师表，对学生进行思想教育尽心尽力，表现突出；是该学科领域带头人，对本学科专业建设</w:t>
            </w:r>
            <w:proofErr w:type="gramStart"/>
            <w:r w:rsidRPr="002C22E1">
              <w:rPr>
                <w:rFonts w:ascii="仿宋" w:eastAsia="仿宋" w:hAnsi="仿宋" w:cs="宋体" w:hint="eastAsia"/>
                <w:kern w:val="0"/>
                <w:szCs w:val="21"/>
              </w:rPr>
              <w:t>作出</w:t>
            </w:r>
            <w:proofErr w:type="gramEnd"/>
            <w:r w:rsidRPr="002C22E1">
              <w:rPr>
                <w:rFonts w:ascii="仿宋" w:eastAsia="仿宋" w:hAnsi="仿宋" w:cs="宋体" w:hint="eastAsia"/>
                <w:kern w:val="0"/>
                <w:szCs w:val="21"/>
              </w:rPr>
              <w:t>重要贡献，获省市优秀教学成果一、二等奖，或省市级优秀教材一等奖以上。</w:t>
            </w:r>
          </w:p>
          <w:p w:rsidR="002C22E1" w:rsidRPr="002C22E1" w:rsidRDefault="002C22E1" w:rsidP="002C22E1">
            <w:pPr>
              <w:widowControl/>
              <w:spacing w:line="360" w:lineRule="auto"/>
              <w:ind w:firstLine="420"/>
              <w:jc w:val="left"/>
              <w:rPr>
                <w:rFonts w:ascii="仿宋" w:eastAsia="仿宋" w:hAnsi="仿宋" w:cs="宋体" w:hint="eastAsia"/>
                <w:kern w:val="0"/>
                <w:szCs w:val="21"/>
              </w:rPr>
            </w:pPr>
            <w:r w:rsidRPr="002C22E1">
              <w:rPr>
                <w:rFonts w:ascii="仿宋" w:eastAsia="仿宋" w:hAnsi="仿宋" w:cs="宋体" w:hint="eastAsia"/>
                <w:kern w:val="0"/>
                <w:szCs w:val="21"/>
              </w:rPr>
              <w:t>（2）认真负责、不断创新、开设反映最新科技成就，适应国民经济和科技事业发展需要的新课程；治学严谨，教学效果优秀；获省市级优秀教师称号、育才奖或宝钢教育奖以上。</w:t>
            </w:r>
          </w:p>
          <w:p w:rsidR="002C22E1" w:rsidRPr="002C22E1" w:rsidRDefault="002C22E1" w:rsidP="002C22E1">
            <w:pPr>
              <w:widowControl/>
              <w:spacing w:line="360" w:lineRule="auto"/>
              <w:ind w:firstLine="420"/>
              <w:jc w:val="left"/>
              <w:rPr>
                <w:rFonts w:ascii="仿宋" w:eastAsia="仿宋" w:hAnsi="仿宋" w:cs="宋体" w:hint="eastAsia"/>
                <w:kern w:val="0"/>
                <w:szCs w:val="21"/>
              </w:rPr>
            </w:pPr>
            <w:r w:rsidRPr="002C22E1">
              <w:rPr>
                <w:rFonts w:ascii="仿宋" w:eastAsia="仿宋" w:hAnsi="仿宋" w:cs="宋体" w:hint="eastAsia"/>
                <w:kern w:val="0"/>
                <w:szCs w:val="21"/>
              </w:rPr>
              <w:t>（3）学术造诣深，承担国家重大科研项目，在某一科学技术领域</w:t>
            </w:r>
            <w:proofErr w:type="gramStart"/>
            <w:r w:rsidRPr="002C22E1">
              <w:rPr>
                <w:rFonts w:ascii="仿宋" w:eastAsia="仿宋" w:hAnsi="仿宋" w:cs="宋体" w:hint="eastAsia"/>
                <w:kern w:val="0"/>
                <w:szCs w:val="21"/>
              </w:rPr>
              <w:t>作出</w:t>
            </w:r>
            <w:proofErr w:type="gramEnd"/>
            <w:r w:rsidRPr="002C22E1">
              <w:rPr>
                <w:rFonts w:ascii="仿宋" w:eastAsia="仿宋" w:hAnsi="仿宋" w:cs="宋体" w:hint="eastAsia"/>
                <w:kern w:val="0"/>
                <w:szCs w:val="21"/>
              </w:rPr>
              <w:t>系统、创造性的科技成就和重大贡献，具有重大科学或实际应用价值，达到国内外先进水平，有显著的经济效益，作为主要完成者获得国家三大奖或省市级一、二等奖1项以上者或省市级科技进步三等奖2项以上，或其学术论文多次被国际三大检索机构收录。</w:t>
            </w:r>
          </w:p>
          <w:p w:rsidR="002C22E1" w:rsidRPr="002C22E1" w:rsidRDefault="002C22E1" w:rsidP="002C22E1">
            <w:pPr>
              <w:widowControl/>
              <w:spacing w:line="360" w:lineRule="auto"/>
              <w:ind w:firstLine="420"/>
              <w:jc w:val="left"/>
              <w:rPr>
                <w:rFonts w:ascii="仿宋" w:eastAsia="仿宋" w:hAnsi="仿宋" w:cs="宋体" w:hint="eastAsia"/>
                <w:kern w:val="0"/>
                <w:szCs w:val="21"/>
              </w:rPr>
            </w:pPr>
            <w:r w:rsidRPr="002C22E1">
              <w:rPr>
                <w:rFonts w:ascii="仿宋" w:eastAsia="仿宋" w:hAnsi="仿宋" w:cs="宋体" w:hint="eastAsia"/>
                <w:kern w:val="0"/>
                <w:szCs w:val="21"/>
              </w:rPr>
              <w:t>（4）在产学研相结合的高新技术成果转化工作中取得杰出成绩，拥有自主知识产权的转化成果，并取得显著的经济效益。</w:t>
            </w:r>
          </w:p>
          <w:p w:rsidR="002C22E1" w:rsidRPr="002C22E1" w:rsidRDefault="002C22E1" w:rsidP="002C22E1">
            <w:pPr>
              <w:widowControl/>
              <w:spacing w:line="360" w:lineRule="auto"/>
              <w:ind w:firstLine="420"/>
              <w:jc w:val="left"/>
              <w:rPr>
                <w:rFonts w:ascii="仿宋" w:eastAsia="仿宋" w:hAnsi="仿宋" w:cs="宋体" w:hint="eastAsia"/>
                <w:kern w:val="0"/>
                <w:szCs w:val="21"/>
              </w:rPr>
            </w:pPr>
            <w:r w:rsidRPr="002C22E1">
              <w:rPr>
                <w:rFonts w:ascii="仿宋" w:eastAsia="仿宋" w:hAnsi="仿宋" w:cs="宋体" w:hint="eastAsia"/>
                <w:kern w:val="0"/>
                <w:szCs w:val="21"/>
              </w:rPr>
              <w:t>第三条 设立上海大学王宽诚育才奖评审委员会负责有关评选工作，评委会由学校评优领导小组兼任，人事处负责处理评审活动中的日常性工作。</w:t>
            </w:r>
          </w:p>
          <w:p w:rsidR="002C22E1" w:rsidRPr="002C22E1" w:rsidRDefault="002C22E1" w:rsidP="002C22E1">
            <w:pPr>
              <w:widowControl/>
              <w:spacing w:line="360" w:lineRule="auto"/>
              <w:ind w:firstLine="420"/>
              <w:jc w:val="left"/>
              <w:rPr>
                <w:rFonts w:ascii="仿宋" w:eastAsia="仿宋" w:hAnsi="仿宋" w:cs="宋体" w:hint="eastAsia"/>
                <w:kern w:val="0"/>
                <w:szCs w:val="21"/>
              </w:rPr>
            </w:pPr>
            <w:r w:rsidRPr="002C22E1">
              <w:rPr>
                <w:rFonts w:ascii="仿宋" w:eastAsia="仿宋" w:hAnsi="仿宋" w:cs="宋体" w:hint="eastAsia"/>
                <w:kern w:val="0"/>
                <w:szCs w:val="21"/>
              </w:rPr>
              <w:t>第四条 育才奖评审程序为：</w:t>
            </w:r>
          </w:p>
          <w:p w:rsidR="002C22E1" w:rsidRPr="002C22E1" w:rsidRDefault="002C22E1" w:rsidP="002C22E1">
            <w:pPr>
              <w:widowControl/>
              <w:spacing w:line="360" w:lineRule="auto"/>
              <w:ind w:firstLine="420"/>
              <w:jc w:val="left"/>
              <w:rPr>
                <w:rFonts w:ascii="仿宋" w:eastAsia="仿宋" w:hAnsi="仿宋" w:cs="宋体" w:hint="eastAsia"/>
                <w:kern w:val="0"/>
                <w:szCs w:val="21"/>
              </w:rPr>
            </w:pPr>
            <w:r w:rsidRPr="002C22E1">
              <w:rPr>
                <w:rFonts w:ascii="仿宋" w:eastAsia="仿宋" w:hAnsi="仿宋" w:cs="宋体" w:hint="eastAsia"/>
                <w:kern w:val="0"/>
                <w:szCs w:val="21"/>
              </w:rPr>
              <w:t>（1）每年六月由系主任或两名同行专家推荐，填写评奖推荐表，附上必要的材料，经学院学术委员会初评通过后，将名单和材料上报校人事处。</w:t>
            </w:r>
          </w:p>
          <w:p w:rsidR="002C22E1" w:rsidRPr="002C22E1" w:rsidRDefault="002C22E1" w:rsidP="002C22E1">
            <w:pPr>
              <w:widowControl/>
              <w:spacing w:line="360" w:lineRule="auto"/>
              <w:ind w:firstLine="420"/>
              <w:jc w:val="left"/>
              <w:rPr>
                <w:rFonts w:ascii="仿宋" w:eastAsia="仿宋" w:hAnsi="仿宋" w:cs="宋体" w:hint="eastAsia"/>
                <w:kern w:val="0"/>
                <w:szCs w:val="21"/>
              </w:rPr>
            </w:pPr>
            <w:r w:rsidRPr="002C22E1">
              <w:rPr>
                <w:rFonts w:ascii="仿宋" w:eastAsia="仿宋" w:hAnsi="仿宋" w:cs="宋体" w:hint="eastAsia"/>
                <w:kern w:val="0"/>
                <w:szCs w:val="21"/>
              </w:rPr>
              <w:t>（2）由评审委员会对院（系、所）上报的材料认真地进行评审，确定获奖候选人名单交校长审核批准后将评审结果向王宽诚教育基金会通报。</w:t>
            </w:r>
          </w:p>
          <w:p w:rsidR="002C22E1" w:rsidRPr="002C22E1" w:rsidRDefault="002C22E1" w:rsidP="002C22E1">
            <w:pPr>
              <w:widowControl/>
              <w:spacing w:line="360" w:lineRule="auto"/>
              <w:ind w:firstLine="420"/>
              <w:jc w:val="left"/>
              <w:rPr>
                <w:rFonts w:ascii="仿宋" w:eastAsia="仿宋" w:hAnsi="仿宋" w:cs="宋体" w:hint="eastAsia"/>
                <w:kern w:val="0"/>
                <w:szCs w:val="21"/>
              </w:rPr>
            </w:pPr>
            <w:r w:rsidRPr="002C22E1">
              <w:rPr>
                <w:rFonts w:ascii="仿宋" w:eastAsia="仿宋" w:hAnsi="仿宋" w:cs="宋体" w:hint="eastAsia"/>
                <w:kern w:val="0"/>
                <w:szCs w:val="21"/>
              </w:rPr>
              <w:t>第五条 于当年九月十日教师节举行育才奖颁奖仪式，向获奖者颁发育才奖荣誉证书和奖金。</w:t>
            </w:r>
          </w:p>
          <w:p w:rsidR="002C22E1" w:rsidRPr="002C22E1" w:rsidRDefault="002C22E1" w:rsidP="002C22E1">
            <w:pPr>
              <w:widowControl/>
              <w:spacing w:line="360" w:lineRule="auto"/>
              <w:ind w:firstLine="420"/>
              <w:jc w:val="left"/>
              <w:rPr>
                <w:rFonts w:ascii="仿宋" w:eastAsia="仿宋" w:hAnsi="仿宋" w:cs="宋体" w:hint="eastAsia"/>
                <w:kern w:val="0"/>
                <w:szCs w:val="21"/>
              </w:rPr>
            </w:pPr>
            <w:r w:rsidRPr="002C22E1">
              <w:rPr>
                <w:rFonts w:ascii="仿宋" w:eastAsia="仿宋" w:hAnsi="仿宋" w:cs="宋体" w:hint="eastAsia"/>
                <w:kern w:val="0"/>
                <w:szCs w:val="21"/>
              </w:rPr>
              <w:t>第六条 育才奖每年评审颁发一次，每次</w:t>
            </w:r>
            <w:proofErr w:type="gramStart"/>
            <w:r w:rsidRPr="002C22E1">
              <w:rPr>
                <w:rFonts w:ascii="仿宋" w:eastAsia="仿宋" w:hAnsi="仿宋" w:cs="宋体" w:hint="eastAsia"/>
                <w:kern w:val="0"/>
                <w:szCs w:val="21"/>
              </w:rPr>
              <w:t>限评五</w:t>
            </w:r>
            <w:proofErr w:type="gramEnd"/>
            <w:r w:rsidRPr="002C22E1">
              <w:rPr>
                <w:rFonts w:ascii="仿宋" w:eastAsia="仿宋" w:hAnsi="仿宋" w:cs="宋体" w:hint="eastAsia"/>
                <w:kern w:val="0"/>
                <w:szCs w:val="21"/>
              </w:rPr>
              <w:t>人，每位获奖者奖金人民币壹万元。</w:t>
            </w:r>
          </w:p>
          <w:p w:rsidR="002C22E1" w:rsidRPr="002C22E1" w:rsidRDefault="002C22E1" w:rsidP="002C22E1">
            <w:pPr>
              <w:widowControl/>
              <w:spacing w:line="360" w:lineRule="auto"/>
              <w:ind w:firstLine="420"/>
              <w:jc w:val="left"/>
              <w:rPr>
                <w:rFonts w:ascii="仿宋" w:eastAsia="仿宋" w:hAnsi="仿宋" w:cs="宋体" w:hint="eastAsia"/>
                <w:kern w:val="0"/>
                <w:szCs w:val="21"/>
              </w:rPr>
            </w:pPr>
            <w:r w:rsidRPr="002C22E1">
              <w:rPr>
                <w:rFonts w:ascii="仿宋" w:eastAsia="仿宋" w:hAnsi="仿宋" w:cs="宋体" w:hint="eastAsia"/>
                <w:kern w:val="0"/>
                <w:szCs w:val="21"/>
              </w:rPr>
              <w:lastRenderedPageBreak/>
              <w:t>第七条 本条例从一九九九年开始实行。</w:t>
            </w:r>
          </w:p>
          <w:p w:rsidR="002C22E1" w:rsidRPr="002C22E1" w:rsidRDefault="002C22E1" w:rsidP="002C22E1">
            <w:pPr>
              <w:widowControl/>
              <w:spacing w:line="360" w:lineRule="auto"/>
              <w:ind w:firstLine="5670"/>
              <w:jc w:val="left"/>
              <w:rPr>
                <w:rFonts w:ascii="仿宋" w:eastAsia="仿宋" w:hAnsi="仿宋" w:cs="宋体" w:hint="eastAsia"/>
                <w:kern w:val="0"/>
                <w:szCs w:val="21"/>
              </w:rPr>
            </w:pPr>
            <w:r w:rsidRPr="002C22E1">
              <w:rPr>
                <w:rFonts w:ascii="宋体" w:eastAsia="宋体" w:hAnsi="宋体" w:cs="宋体" w:hint="eastAsia"/>
                <w:kern w:val="0"/>
                <w:szCs w:val="21"/>
              </w:rPr>
              <w:t>                                  </w:t>
            </w:r>
            <w:r w:rsidRPr="002C22E1">
              <w:rPr>
                <w:rFonts w:ascii="仿宋" w:eastAsia="仿宋" w:hAnsi="仿宋" w:cs="宋体" w:hint="eastAsia"/>
                <w:kern w:val="0"/>
                <w:szCs w:val="21"/>
              </w:rPr>
              <w:t xml:space="preserve"> </w:t>
            </w:r>
            <w:r w:rsidRPr="002C22E1">
              <w:rPr>
                <w:rFonts w:ascii="宋体" w:eastAsia="宋体" w:hAnsi="宋体" w:cs="宋体" w:hint="eastAsia"/>
                <w:kern w:val="0"/>
                <w:szCs w:val="21"/>
              </w:rPr>
              <w:t>     </w:t>
            </w:r>
            <w:r w:rsidRPr="002C22E1">
              <w:rPr>
                <w:rFonts w:ascii="仿宋" w:eastAsia="仿宋" w:hAnsi="仿宋" w:cs="宋体" w:hint="eastAsia"/>
                <w:kern w:val="0"/>
                <w:szCs w:val="21"/>
              </w:rPr>
              <w:t xml:space="preserve"> </w:t>
            </w:r>
            <w:r w:rsidRPr="002C22E1">
              <w:rPr>
                <w:rFonts w:ascii="宋体" w:eastAsia="宋体" w:hAnsi="宋体" w:cs="宋体" w:hint="eastAsia"/>
                <w:kern w:val="0"/>
                <w:szCs w:val="21"/>
              </w:rPr>
              <w:t> </w:t>
            </w:r>
            <w:r w:rsidRPr="002C22E1">
              <w:rPr>
                <w:rFonts w:ascii="仿宋" w:eastAsia="仿宋" w:hAnsi="仿宋" w:cs="宋体" w:hint="eastAsia"/>
                <w:kern w:val="0"/>
                <w:szCs w:val="21"/>
              </w:rPr>
              <w:t xml:space="preserve"> 上海大学</w:t>
            </w:r>
          </w:p>
          <w:p w:rsidR="002C22E1" w:rsidRPr="002C22E1" w:rsidRDefault="002C22E1" w:rsidP="002C22E1">
            <w:pPr>
              <w:widowControl/>
              <w:spacing w:line="360" w:lineRule="auto"/>
              <w:ind w:firstLine="5460"/>
              <w:jc w:val="left"/>
              <w:rPr>
                <w:rFonts w:ascii="仿宋" w:eastAsia="仿宋" w:hAnsi="仿宋" w:cs="宋体"/>
                <w:kern w:val="0"/>
                <w:szCs w:val="21"/>
              </w:rPr>
            </w:pPr>
            <w:r w:rsidRPr="002C22E1">
              <w:rPr>
                <w:rFonts w:ascii="宋体" w:eastAsia="宋体" w:hAnsi="宋体" w:cs="宋体" w:hint="eastAsia"/>
                <w:kern w:val="0"/>
                <w:szCs w:val="21"/>
              </w:rPr>
              <w:t>                                       </w:t>
            </w:r>
            <w:r w:rsidRPr="002C22E1">
              <w:rPr>
                <w:rFonts w:ascii="仿宋" w:eastAsia="仿宋" w:hAnsi="仿宋" w:cs="宋体" w:hint="eastAsia"/>
                <w:kern w:val="0"/>
                <w:szCs w:val="21"/>
              </w:rPr>
              <w:t xml:space="preserve"> </w:t>
            </w:r>
            <w:r w:rsidRPr="002C22E1">
              <w:rPr>
                <w:rFonts w:ascii="宋体" w:eastAsia="宋体" w:hAnsi="宋体" w:cs="宋体" w:hint="eastAsia"/>
                <w:kern w:val="0"/>
                <w:szCs w:val="21"/>
              </w:rPr>
              <w:t>  </w:t>
            </w:r>
            <w:r w:rsidRPr="002C22E1">
              <w:rPr>
                <w:rFonts w:ascii="仿宋" w:eastAsia="仿宋" w:hAnsi="仿宋" w:cs="宋体" w:hint="eastAsia"/>
                <w:kern w:val="0"/>
                <w:szCs w:val="21"/>
              </w:rPr>
              <w:t>一九九九年五月</w:t>
            </w:r>
          </w:p>
        </w:tc>
      </w:tr>
    </w:tbl>
    <w:p w:rsidR="00000AA2" w:rsidRPr="002C22E1" w:rsidRDefault="00000AA2">
      <w:bookmarkStart w:id="0" w:name="_GoBack"/>
      <w:bookmarkEnd w:id="0"/>
    </w:p>
    <w:sectPr w:rsidR="00000AA2" w:rsidRPr="002C22E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2E1"/>
    <w:rsid w:val="00000AA2"/>
    <w:rsid w:val="002C2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407643">
      <w:bodyDiv w:val="1"/>
      <w:marLeft w:val="0"/>
      <w:marRight w:val="0"/>
      <w:marTop w:val="0"/>
      <w:marBottom w:val="0"/>
      <w:divBdr>
        <w:top w:val="none" w:sz="0" w:space="0" w:color="auto"/>
        <w:left w:val="none" w:sz="0" w:space="0" w:color="auto"/>
        <w:bottom w:val="none" w:sz="0" w:space="0" w:color="auto"/>
        <w:right w:val="none" w:sz="0" w:space="0" w:color="auto"/>
      </w:divBdr>
      <w:divsChild>
        <w:div w:id="819884608">
          <w:marLeft w:val="0"/>
          <w:marRight w:val="0"/>
          <w:marTop w:val="156"/>
          <w:marBottom w:val="156"/>
          <w:divBdr>
            <w:top w:val="none" w:sz="0" w:space="0" w:color="auto"/>
            <w:left w:val="none" w:sz="0" w:space="0" w:color="auto"/>
            <w:bottom w:val="none" w:sz="0" w:space="0" w:color="auto"/>
            <w:right w:val="none" w:sz="0" w:space="0" w:color="auto"/>
          </w:divBdr>
        </w:div>
        <w:div w:id="998994643">
          <w:marLeft w:val="0"/>
          <w:marRight w:val="0"/>
          <w:marTop w:val="156"/>
          <w:marBottom w:val="156"/>
          <w:divBdr>
            <w:top w:val="none" w:sz="0" w:space="0" w:color="auto"/>
            <w:left w:val="none" w:sz="0" w:space="0" w:color="auto"/>
            <w:bottom w:val="none" w:sz="0" w:space="0" w:color="auto"/>
            <w:right w:val="none" w:sz="0" w:space="0" w:color="auto"/>
          </w:divBdr>
        </w:div>
        <w:div w:id="962610677">
          <w:marLeft w:val="0"/>
          <w:marRight w:val="0"/>
          <w:marTop w:val="156"/>
          <w:marBottom w:val="156"/>
          <w:divBdr>
            <w:top w:val="none" w:sz="0" w:space="0" w:color="auto"/>
            <w:left w:val="none" w:sz="0" w:space="0" w:color="auto"/>
            <w:bottom w:val="none" w:sz="0" w:space="0" w:color="auto"/>
            <w:right w:val="none" w:sz="0" w:space="0" w:color="auto"/>
          </w:divBdr>
        </w:div>
        <w:div w:id="1700163820">
          <w:marLeft w:val="0"/>
          <w:marRight w:val="0"/>
          <w:marTop w:val="156"/>
          <w:marBottom w:val="156"/>
          <w:divBdr>
            <w:top w:val="none" w:sz="0" w:space="0" w:color="auto"/>
            <w:left w:val="none" w:sz="0" w:space="0" w:color="auto"/>
            <w:bottom w:val="none" w:sz="0" w:space="0" w:color="auto"/>
            <w:right w:val="none" w:sz="0" w:space="0" w:color="auto"/>
          </w:divBdr>
        </w:div>
        <w:div w:id="1040669696">
          <w:marLeft w:val="0"/>
          <w:marRight w:val="0"/>
          <w:marTop w:val="156"/>
          <w:marBottom w:val="156"/>
          <w:divBdr>
            <w:top w:val="none" w:sz="0" w:space="0" w:color="auto"/>
            <w:left w:val="none" w:sz="0" w:space="0" w:color="auto"/>
            <w:bottom w:val="none" w:sz="0" w:space="0" w:color="auto"/>
            <w:right w:val="none" w:sz="0" w:space="0" w:color="auto"/>
          </w:divBdr>
        </w:div>
        <w:div w:id="238945235">
          <w:marLeft w:val="0"/>
          <w:marRight w:val="0"/>
          <w:marTop w:val="156"/>
          <w:marBottom w:val="156"/>
          <w:divBdr>
            <w:top w:val="none" w:sz="0" w:space="0" w:color="auto"/>
            <w:left w:val="none" w:sz="0" w:space="0" w:color="auto"/>
            <w:bottom w:val="none" w:sz="0" w:space="0" w:color="auto"/>
            <w:right w:val="none" w:sz="0" w:space="0" w:color="auto"/>
          </w:divBdr>
        </w:div>
        <w:div w:id="748649335">
          <w:marLeft w:val="0"/>
          <w:marRight w:val="0"/>
          <w:marTop w:val="156"/>
          <w:marBottom w:val="156"/>
          <w:divBdr>
            <w:top w:val="none" w:sz="0" w:space="0" w:color="auto"/>
            <w:left w:val="none" w:sz="0" w:space="0" w:color="auto"/>
            <w:bottom w:val="none" w:sz="0" w:space="0" w:color="auto"/>
            <w:right w:val="none" w:sz="0" w:space="0" w:color="auto"/>
          </w:divBdr>
        </w:div>
        <w:div w:id="529536543">
          <w:marLeft w:val="0"/>
          <w:marRight w:val="0"/>
          <w:marTop w:val="156"/>
          <w:marBottom w:val="156"/>
          <w:divBdr>
            <w:top w:val="none" w:sz="0" w:space="0" w:color="auto"/>
            <w:left w:val="none" w:sz="0" w:space="0" w:color="auto"/>
            <w:bottom w:val="none" w:sz="0" w:space="0" w:color="auto"/>
            <w:right w:val="none" w:sz="0" w:space="0" w:color="auto"/>
          </w:divBdr>
        </w:div>
        <w:div w:id="792821751">
          <w:marLeft w:val="0"/>
          <w:marRight w:val="0"/>
          <w:marTop w:val="156"/>
          <w:marBottom w:val="156"/>
          <w:divBdr>
            <w:top w:val="none" w:sz="0" w:space="0" w:color="auto"/>
            <w:left w:val="none" w:sz="0" w:space="0" w:color="auto"/>
            <w:bottom w:val="none" w:sz="0" w:space="0" w:color="auto"/>
            <w:right w:val="none" w:sz="0" w:space="0" w:color="auto"/>
          </w:divBdr>
        </w:div>
        <w:div w:id="1127047771">
          <w:marLeft w:val="0"/>
          <w:marRight w:val="0"/>
          <w:marTop w:val="156"/>
          <w:marBottom w:val="156"/>
          <w:divBdr>
            <w:top w:val="none" w:sz="0" w:space="0" w:color="auto"/>
            <w:left w:val="none" w:sz="0" w:space="0" w:color="auto"/>
            <w:bottom w:val="none" w:sz="0" w:space="0" w:color="auto"/>
            <w:right w:val="none" w:sz="0" w:space="0" w:color="auto"/>
          </w:divBdr>
        </w:div>
        <w:div w:id="1838497178">
          <w:marLeft w:val="0"/>
          <w:marRight w:val="0"/>
          <w:marTop w:val="156"/>
          <w:marBottom w:val="156"/>
          <w:divBdr>
            <w:top w:val="none" w:sz="0" w:space="0" w:color="auto"/>
            <w:left w:val="none" w:sz="0" w:space="0" w:color="auto"/>
            <w:bottom w:val="none" w:sz="0" w:space="0" w:color="auto"/>
            <w:right w:val="none" w:sz="0" w:space="0" w:color="auto"/>
          </w:divBdr>
        </w:div>
        <w:div w:id="1179078969">
          <w:marLeft w:val="0"/>
          <w:marRight w:val="0"/>
          <w:marTop w:val="156"/>
          <w:marBottom w:val="156"/>
          <w:divBdr>
            <w:top w:val="none" w:sz="0" w:space="0" w:color="auto"/>
            <w:left w:val="none" w:sz="0" w:space="0" w:color="auto"/>
            <w:bottom w:val="none" w:sz="0" w:space="0" w:color="auto"/>
            <w:right w:val="none" w:sz="0" w:space="0" w:color="auto"/>
          </w:divBdr>
        </w:div>
        <w:div w:id="212281009">
          <w:marLeft w:val="0"/>
          <w:marRight w:val="0"/>
          <w:marTop w:val="156"/>
          <w:marBottom w:val="156"/>
          <w:divBdr>
            <w:top w:val="none" w:sz="0" w:space="0" w:color="auto"/>
            <w:left w:val="none" w:sz="0" w:space="0" w:color="auto"/>
            <w:bottom w:val="none" w:sz="0" w:space="0" w:color="auto"/>
            <w:right w:val="none" w:sz="0" w:space="0" w:color="auto"/>
          </w:divBdr>
        </w:div>
        <w:div w:id="1868181185">
          <w:marLeft w:val="0"/>
          <w:marRight w:val="0"/>
          <w:marTop w:val="156"/>
          <w:marBottom w:val="156"/>
          <w:divBdr>
            <w:top w:val="none" w:sz="0" w:space="0" w:color="auto"/>
            <w:left w:val="none" w:sz="0" w:space="0" w:color="auto"/>
            <w:bottom w:val="none" w:sz="0" w:space="0" w:color="auto"/>
            <w:right w:val="none" w:sz="0" w:space="0" w:color="auto"/>
          </w:divBdr>
        </w:div>
        <w:div w:id="899443876">
          <w:marLeft w:val="0"/>
          <w:marRight w:val="0"/>
          <w:marTop w:val="156"/>
          <w:marBottom w:val="156"/>
          <w:divBdr>
            <w:top w:val="none" w:sz="0" w:space="0" w:color="auto"/>
            <w:left w:val="none" w:sz="0" w:space="0" w:color="auto"/>
            <w:bottom w:val="none" w:sz="0" w:space="0" w:color="auto"/>
            <w:right w:val="none" w:sz="0" w:space="0" w:color="auto"/>
          </w:divBdr>
        </w:div>
        <w:div w:id="2131166591">
          <w:marLeft w:val="0"/>
          <w:marRight w:val="0"/>
          <w:marTop w:val="156"/>
          <w:marBottom w:val="156"/>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154</Words>
  <Characters>879</Characters>
  <Application>Microsoft Office Word</Application>
  <DocSecurity>0</DocSecurity>
  <Lines>7</Lines>
  <Paragraphs>2</Paragraphs>
  <ScaleCrop>false</ScaleCrop>
  <Company>Microsoft</Company>
  <LinksUpToDate>false</LinksUpToDate>
  <CharactersWithSpaces>1031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2019-02-26T05:02:00Z</dcterms:created>
  <dcterms:modified xsi:type="dcterms:W3CDTF">2019-02-26T05:02:00Z</dcterms:modified>
</cp:coreProperties>
</file>